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20"/>
      </w:pPr>
      <w:r>
        <w:rPr>
          <w:rFonts w:ascii="Calibri" w:cs="Calibri" w:eastAsia="Calibri" w:hAnsi="Calibri"/>
          <w:b/>
          <w:bCs/>
          <w:color w:val="0B7285"/>
          <w:sz w:val="16"/>
          <w:szCs w:val="16"/>
        </w:rPr>
        <w:t xml:space="preserve">STORYBOARD</w:t>
      </w:r>
    </w:p>
    <w:p>
      <w:pPr>
        <w:spacing w:after="30"/>
      </w:pPr>
      <w:r>
        <w:rPr>
          <w:rFonts w:ascii="Calibri" w:cs="Calibri" w:eastAsia="Calibri" w:hAnsi="Calibri"/>
          <w:b/>
          <w:bCs/>
          <w:color w:val="1F2A37"/>
          <w:sz w:val="30"/>
          <w:szCs w:val="30"/>
        </w:rPr>
        <w:t xml:space="preserve">Essential Skills for the New Manager</w:t>
      </w:r>
    </w:p>
    <w:p>
      <w:pPr>
        <w:spacing w:after="20"/>
      </w:pPr>
      <w:r>
        <w:rPr>
          <w:rFonts w:ascii="Calibri" w:cs="Calibri" w:eastAsia="Calibri" w:hAnsi="Calibri"/>
          <w:b/>
          <w:bCs/>
          <w:color w:val="1F2A37"/>
          <w:sz w:val="15"/>
          <w:szCs w:val="15"/>
        </w:rPr>
        <w:t xml:space="preserve">Modality: </w:t>
      </w:r>
      <w:r>
        <w:rPr>
          <w:rFonts w:ascii="Calibri" w:cs="Calibri" w:eastAsia="Calibri" w:hAnsi="Calibri"/>
          <w:color w:val="5F6B7A"/>
          <w:sz w:val="15"/>
          <w:szCs w:val="15"/>
        </w:rPr>
        <w:t xml:space="preserve">self-paced eLearning (~40 min)   </w:t>
      </w:r>
      <w:r>
        <w:rPr>
          <w:rFonts w:ascii="Calibri" w:cs="Calibri" w:eastAsia="Calibri" w:hAnsi="Calibri"/>
          <w:b/>
          <w:bCs/>
          <w:color w:val="1F2A37"/>
          <w:sz w:val="15"/>
          <w:szCs w:val="15"/>
        </w:rPr>
        <w:t xml:space="preserve">Audience: </w:t>
      </w:r>
      <w:r>
        <w:rPr>
          <w:rFonts w:ascii="Calibri" w:cs="Calibri" w:eastAsia="Calibri" w:hAnsi="Calibri"/>
          <w:color w:val="5F6B7A"/>
          <w:sz w:val="15"/>
          <w:szCs w:val="15"/>
        </w:rPr>
        <w:t xml:space="preserve">newly promoted managers   </w:t>
      </w:r>
      <w:r>
        <w:rPr>
          <w:rFonts w:ascii="Calibri" w:cs="Calibri" w:eastAsia="Calibri" w:hAnsi="Calibri"/>
          <w:b/>
          <w:bCs/>
          <w:color w:val="1F2A37"/>
          <w:sz w:val="15"/>
          <w:szCs w:val="15"/>
        </w:rPr>
        <w:t xml:space="preserve">Designer: </w:t>
      </w:r>
      <w:r>
        <w:rPr>
          <w:rFonts w:ascii="Calibri" w:cs="Calibri" w:eastAsia="Calibri" w:hAnsi="Calibri"/>
          <w:color w:val="5F6B7A"/>
          <w:sz w:val="15"/>
          <w:szCs w:val="15"/>
        </w:rPr>
        <w:t xml:space="preserve">Thomas R. Christian, M.Ed.   </w:t>
      </w:r>
      <w:r>
        <w:rPr>
          <w:rFonts w:ascii="Calibri" w:cs="Calibri" w:eastAsia="Calibri" w:hAnsi="Calibri"/>
          <w:color w:val="5F6B7A"/>
          <w:sz w:val="15"/>
          <w:szCs w:val="15"/>
        </w:rPr>
        <w:t xml:space="preserve">v1.0 · draft for SME review</w:t>
      </w:r>
    </w:p>
    <w:p>
      <w:pPr>
        <w:spacing w:after="120"/>
      </w:pPr>
      <w:r>
        <w:rPr>
          <w:rFonts w:ascii="Calibri" w:cs="Calibri" w:eastAsia="Calibri" w:hAnsi="Calibri"/>
          <w:i/>
          <w:iCs/>
          <w:color w:val="5F6B7A"/>
          <w:sz w:val="15"/>
          <w:szCs w:val="15"/>
        </w:rPr>
        <w:t xml:space="preserve">Representative slice — 10 of the module’s screens. This is the build spec: what’s on screen, what’s said, what the learner does, how it’s developed, and the objective each screen serves. AI drafts the first pass; every design decision here is reviewed and owned by the designer.</w:t>
      </w:r>
    </w:p>
    <w:tbl>
      <w:tblPr>
        <w:tblW w:type="dxa" w:w="14400"/>
        <w:tblBorders>
          <w:top w:val="single" w:color="C9D3DC" w:sz="4"/>
          <w:left w:val="single" w:color="C9D3DC" w:sz="4"/>
          <w:bottom w:val="single" w:color="C9D3DC" w:sz="4"/>
          <w:right w:val="single" w:color="C9D3DC" w:sz="4"/>
          <w:insideH w:val="single" w:color="C9D3DC" w:sz="4"/>
          <w:insideV w:val="single" w:color="C9D3DC" w:sz="4"/>
        </w:tblBorders>
      </w:tblPr>
      <w:tblGrid>
        <w:gridCol w:w="520"/>
        <w:gridCol w:w="1860"/>
        <w:gridCol w:w="3080"/>
        <w:gridCol w:w="3260"/>
        <w:gridCol w:w="2020"/>
        <w:gridCol w:w="2360"/>
        <w:gridCol w:w="1300"/>
      </w:tblGrid>
      <w:tr>
        <w:trPr>
          <w:tblHeader/>
        </w:trPr>
        <w:tc>
          <w:tcPr>
            <w:tcW w:type="dxa" w:w="520"/>
            <w:shd w:fill="0B7285" w:color="auto" w:val="clear"/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r>
              <w:rPr>
                <w:rFonts w:ascii="Calibri" w:cs="Calibri" w:eastAsia="Calibri" w:hAnsi="Calibri"/>
                <w:b/>
                <w:bCs/>
                <w:color w:val="FFFFFF"/>
                <w:sz w:val="15"/>
                <w:szCs w:val="15"/>
              </w:rPr>
              <w:t xml:space="preserve">#</w:t>
            </w:r>
          </w:p>
        </w:tc>
        <w:tc>
          <w:tcPr>
            <w:tcW w:type="dxa" w:w="1860"/>
            <w:shd w:fill="0B7285" w:color="auto" w:val="clear"/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r>
              <w:rPr>
                <w:rFonts w:ascii="Calibri" w:cs="Calibri" w:eastAsia="Calibri" w:hAnsi="Calibri"/>
                <w:b/>
                <w:bCs/>
                <w:color w:val="FFFFFF"/>
                <w:sz w:val="15"/>
                <w:szCs w:val="15"/>
              </w:rPr>
              <w:t xml:space="preserve">Screen &amp; type</w:t>
            </w:r>
          </w:p>
        </w:tc>
        <w:tc>
          <w:tcPr>
            <w:tcW w:type="dxa" w:w="3080"/>
            <w:shd w:fill="0B7285" w:color="auto" w:val="clear"/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r>
              <w:rPr>
                <w:rFonts w:ascii="Calibri" w:cs="Calibri" w:eastAsia="Calibri" w:hAnsi="Calibri"/>
                <w:b/>
                <w:bCs/>
                <w:color w:val="FFFFFF"/>
                <w:sz w:val="15"/>
                <w:szCs w:val="15"/>
              </w:rPr>
              <w:t xml:space="preserve">On-screen text</w:t>
            </w:r>
          </w:p>
        </w:tc>
        <w:tc>
          <w:tcPr>
            <w:tcW w:type="dxa" w:w="3260"/>
            <w:shd w:fill="0B7285" w:color="auto" w:val="clear"/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r>
              <w:rPr>
                <w:rFonts w:ascii="Calibri" w:cs="Calibri" w:eastAsia="Calibri" w:hAnsi="Calibri"/>
                <w:b/>
                <w:bCs/>
                <w:color w:val="FFFFFF"/>
                <w:sz w:val="15"/>
                <w:szCs w:val="15"/>
              </w:rPr>
              <w:t xml:space="preserve">Narration (VO)</w:t>
            </w:r>
          </w:p>
        </w:tc>
        <w:tc>
          <w:tcPr>
            <w:tcW w:type="dxa" w:w="2020"/>
            <w:shd w:fill="0B7285" w:color="auto" w:val="clear"/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r>
              <w:rPr>
                <w:rFonts w:ascii="Calibri" w:cs="Calibri" w:eastAsia="Calibri" w:hAnsi="Calibri"/>
                <w:b/>
                <w:bCs/>
                <w:color w:val="FFFFFF"/>
                <w:sz w:val="15"/>
                <w:szCs w:val="15"/>
              </w:rPr>
              <w:t xml:space="preserve">Learner interaction</w:t>
            </w:r>
          </w:p>
        </w:tc>
        <w:tc>
          <w:tcPr>
            <w:tcW w:type="dxa" w:w="2360"/>
            <w:shd w:fill="0B7285" w:color="auto" w:val="clear"/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r>
              <w:rPr>
                <w:rFonts w:ascii="Calibri" w:cs="Calibri" w:eastAsia="Calibri" w:hAnsi="Calibri"/>
                <w:b/>
                <w:bCs/>
                <w:color w:val="FFFFFF"/>
                <w:sz w:val="15"/>
                <w:szCs w:val="15"/>
              </w:rPr>
              <w:t xml:space="preserve">Visual &amp; media / dev notes</w:t>
            </w:r>
          </w:p>
        </w:tc>
        <w:tc>
          <w:tcPr>
            <w:tcW w:type="dxa" w:w="1300"/>
            <w:shd w:fill="0B7285" w:color="auto" w:val="clear"/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r>
              <w:rPr>
                <w:rFonts w:ascii="Calibri" w:cs="Calibri" w:eastAsia="Calibri" w:hAnsi="Calibri"/>
                <w:b/>
                <w:bCs/>
                <w:color w:val="FFFFFF"/>
                <w:sz w:val="15"/>
                <w:szCs w:val="15"/>
              </w:rPr>
              <w:t xml:space="preserve">Alignment</w:t>
            </w:r>
          </w:p>
        </w:tc>
      </w:tr>
      <w:tr>
        <w:tc>
          <w:tcPr>
            <w:tcW w:type="dxa" w:w="520"/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r>
              <w:rPr>
                <w:rFonts w:ascii="Calibri" w:cs="Calibri" w:eastAsia="Calibri" w:hAnsi="Calibri"/>
                <w:b/>
                <w:bCs/>
                <w:color w:val="1F2A37"/>
                <w:sz w:val="15"/>
                <w:szCs w:val="15"/>
              </w:rPr>
              <w:t xml:space="preserve">1</w:t>
            </w:r>
          </w:p>
        </w:tc>
        <w:tc>
          <w:tcPr>
            <w:tcW w:type="dxa" w:w="1860"/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0" w:line="210"/>
            </w:pPr>
            <w:r>
              <w:rPr>
                <w:rFonts w:ascii="Calibri" w:cs="Calibri" w:eastAsia="Calibri" w:hAnsi="Calibri"/>
                <w:b/>
                <w:bCs/>
                <w:color w:val="1F2A37"/>
                <w:sz w:val="15"/>
                <w:szCs w:val="15"/>
              </w:rPr>
              <w:t xml:space="preserve">Welcome / Menu</w:t>
            </w:r>
          </w:p>
          <w:p>
            <w:pPr>
              <w:spacing w:after="0" w:line="210"/>
            </w:pPr>
            <w:r>
              <w:rPr>
                <w:rFonts w:ascii="Calibri" w:cs="Calibri" w:eastAsia="Calibri" w:hAnsi="Calibri"/>
                <w:b/>
                <w:bCs/>
                <w:color w:val="0B7285"/>
                <w:sz w:val="13"/>
                <w:szCs w:val="13"/>
              </w:rPr>
              <w:t xml:space="preserve">Title</w:t>
            </w:r>
          </w:p>
        </w:tc>
        <w:tc>
          <w:tcPr>
            <w:tcW w:type="dxa" w:w="3080"/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40" w:line="210"/>
            </w:pPr>
            <w:r>
              <w:rPr>
                <w:rFonts w:ascii="Calibri" w:cs="Calibri" w:eastAsia="Calibri" w:hAnsi="Calibri"/>
                <w:color w:val="1F2A37"/>
                <w:sz w:val="15"/>
                <w:szCs w:val="15"/>
              </w:rPr>
              <w:t xml:space="preserve">H: Essential Skills for the New Manager</w:t>
            </w:r>
          </w:p>
          <w:p>
            <w:pPr>
              <w:spacing w:after="40" w:line="210"/>
            </w:pPr>
            <w:r>
              <w:rPr>
                <w:rFonts w:ascii="Calibri" w:cs="Calibri" w:eastAsia="Calibri" w:hAnsi="Calibri"/>
                <w:color w:val="1F2A37"/>
                <w:sz w:val="15"/>
                <w:szCs w:val="15"/>
              </w:rPr>
              <w:t xml:space="preserve">From doer to leader — the training most new managers never get.</w:t>
            </w:r>
          </w:p>
          <w:p>
            <w:pPr>
              <w:spacing w:after="0" w:line="210"/>
            </w:pPr>
            <w:r>
              <w:rPr>
                <w:rFonts w:ascii="Calibri" w:cs="Calibri" w:eastAsia="Calibri" w:hAnsi="Calibri"/>
                <w:color w:val="1F2A37"/>
                <w:sz w:val="15"/>
                <w:szCs w:val="15"/>
              </w:rPr>
              <w:t xml:space="preserve">Est. 35–45 min · 10 screens</w:t>
            </w:r>
          </w:p>
        </w:tc>
        <w:tc>
          <w:tcPr>
            <w:tcW w:type="dxa" w:w="3260"/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0" w:line="210"/>
            </w:pPr>
            <w:r>
              <w:rPr>
                <w:rFonts w:ascii="Calibri" w:cs="Calibri" w:eastAsia="Calibri" w:hAnsi="Calibri"/>
                <w:i/>
                <w:iCs/>
                <w:color w:val="1F2A37"/>
                <w:sz w:val="15"/>
                <w:szCs w:val="15"/>
              </w:rPr>
              <w:t xml:space="preserve">“You got promoted for being great at the work. Now the work is a different job. In the next 40 minutes: the shift, the traps, and the skills nobody handed you.”</w:t>
            </w:r>
          </w:p>
        </w:tc>
        <w:tc>
          <w:tcPr>
            <w:tcW w:type="dxa" w:w="2020"/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0" w:line="210"/>
            </w:pPr>
            <w:r>
              <w:rPr>
                <w:rFonts w:ascii="Calibri" w:cs="Calibri" w:eastAsia="Calibri" w:hAnsi="Calibri"/>
                <w:color w:val="1F2A37"/>
                <w:sz w:val="15"/>
                <w:szCs w:val="15"/>
              </w:rPr>
              <w:t xml:space="preserve">Click Start. Persistent menu + progress bar; resume where you left off.</w:t>
            </w:r>
          </w:p>
        </w:tc>
        <w:tc>
          <w:tcPr>
            <w:tcW w:type="dxa" w:w="2360"/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0" w:line="210"/>
            </w:pPr>
            <w:r>
              <w:rPr>
                <w:rFonts w:ascii="Calibri" w:cs="Calibri" w:eastAsia="Calibri" w:hAnsi="Calibri"/>
                <w:color w:val="1F2A37"/>
                <w:sz w:val="15"/>
                <w:szCs w:val="15"/>
              </w:rPr>
              <w:t xml:space="preserve">Full-bleed hero, cyan accent, Orbitron headline. Captions ON by default; VO autoplay OFF (WCAG).</w:t>
            </w:r>
          </w:p>
        </w:tc>
        <w:tc>
          <w:tcPr>
            <w:tcW w:type="dxa" w:w="1300"/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0" w:line="210"/>
            </w:pPr>
            <w:r>
              <w:rPr>
                <w:rFonts w:ascii="Calibri" w:cs="Calibri" w:eastAsia="Calibri" w:hAnsi="Calibri"/>
                <w:color w:val="1F2A37"/>
                <w:sz w:val="13"/>
                <w:szCs w:val="13"/>
              </w:rPr>
              <w:t xml:space="preserve">Course intro — frames all objectives</w:t>
            </w:r>
          </w:p>
        </w:tc>
      </w:tr>
      <w:tr>
        <w:tc>
          <w:tcPr>
            <w:tcW w:type="dxa" w:w="520"/>
            <w:shd w:fill="F1F6F9" w:color="auto" w:val="clear"/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r>
              <w:rPr>
                <w:rFonts w:ascii="Calibri" w:cs="Calibri" w:eastAsia="Calibri" w:hAnsi="Calibri"/>
                <w:b/>
                <w:bCs/>
                <w:color w:val="1F2A37"/>
                <w:sz w:val="15"/>
                <w:szCs w:val="15"/>
              </w:rPr>
              <w:t xml:space="preserve">2</w:t>
            </w:r>
          </w:p>
        </w:tc>
        <w:tc>
          <w:tcPr>
            <w:tcW w:type="dxa" w:w="1860"/>
            <w:shd w:fill="F1F6F9" w:color="auto" w:val="clear"/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0" w:line="210"/>
            </w:pPr>
            <w:r>
              <w:rPr>
                <w:rFonts w:ascii="Calibri" w:cs="Calibri" w:eastAsia="Calibri" w:hAnsi="Calibri"/>
                <w:b/>
                <w:bCs/>
                <w:color w:val="1F2A37"/>
                <w:sz w:val="15"/>
                <w:szCs w:val="15"/>
              </w:rPr>
              <w:t xml:space="preserve">The shift nobody trains you for</w:t>
            </w:r>
          </w:p>
          <w:p>
            <w:pPr>
              <w:spacing w:after="0" w:line="210"/>
            </w:pPr>
            <w:r>
              <w:rPr>
                <w:rFonts w:ascii="Calibri" w:cs="Calibri" w:eastAsia="Calibri" w:hAnsi="Calibri"/>
                <w:b/>
                <w:bCs/>
                <w:color w:val="0B7285"/>
                <w:sz w:val="13"/>
                <w:szCs w:val="13"/>
              </w:rPr>
              <w:t xml:space="preserve">Content</w:t>
            </w:r>
          </w:p>
        </w:tc>
        <w:tc>
          <w:tcPr>
            <w:tcW w:type="dxa" w:w="3080"/>
            <w:shd w:fill="F1F6F9" w:color="auto" w:val="clear"/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0" w:line="210"/>
            </w:pPr>
            <w:r>
              <w:rPr>
                <w:rFonts w:ascii="Calibri" w:cs="Calibri" w:eastAsia="Calibri" w:hAnsi="Calibri"/>
                <w:color w:val="1F2A37"/>
                <w:sz w:val="15"/>
                <w:szCs w:val="15"/>
              </w:rPr>
              <w:t xml:space="preserve">4 cards: “Your output isn’t yours anymore” · “You’re measured on others now” · “Your instincts will mislead you” · “The skills are new, not bonus.”</w:t>
            </w:r>
          </w:p>
        </w:tc>
        <w:tc>
          <w:tcPr>
            <w:tcW w:type="dxa" w:w="3260"/>
            <w:shd w:fill="F1F6F9" w:color="auto" w:val="clear"/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0" w:line="210"/>
            </w:pPr>
            <w:r>
              <w:rPr>
                <w:rFonts w:ascii="Calibri" w:cs="Calibri" w:eastAsia="Calibri" w:hAnsi="Calibri"/>
                <w:i/>
                <w:iCs/>
                <w:color w:val="1F2A37"/>
                <w:sz w:val="15"/>
                <w:szCs w:val="15"/>
              </w:rPr>
              <w:t xml:space="preserve">“As an IC, success was what you produced. As a manager, success is what your team produces — your best day may be one where you personally made nothing.”</w:t>
            </w:r>
          </w:p>
        </w:tc>
        <w:tc>
          <w:tcPr>
            <w:tcW w:type="dxa" w:w="2020"/>
            <w:shd w:fill="F1F6F9" w:color="auto" w:val="clear"/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0" w:line="210"/>
            </w:pPr>
            <w:r>
              <w:rPr>
                <w:rFonts w:ascii="Calibri" w:cs="Calibri" w:eastAsia="Calibri" w:hAnsi="Calibri"/>
                <w:color w:val="1F2A37"/>
                <w:sz w:val="15"/>
                <w:szCs w:val="15"/>
              </w:rPr>
              <w:t xml:space="preserve">Reveal each card (click). Next disabled until all 4 viewed.</w:t>
            </w:r>
          </w:p>
        </w:tc>
        <w:tc>
          <w:tcPr>
            <w:tcW w:type="dxa" w:w="2360"/>
            <w:shd w:fill="F1F6F9" w:color="auto" w:val="clear"/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0" w:line="210"/>
            </w:pPr>
            <w:r>
              <w:rPr>
                <w:rFonts w:ascii="Calibri" w:cs="Calibri" w:eastAsia="Calibri" w:hAnsi="Calibri"/>
                <w:color w:val="1F2A37"/>
                <w:sz w:val="15"/>
                <w:szCs w:val="15"/>
              </w:rPr>
              <w:t xml:space="preserve">2×2 card grid, one icon per card. Keyboard-operable, visible focus states.</w:t>
            </w:r>
          </w:p>
        </w:tc>
        <w:tc>
          <w:tcPr>
            <w:tcW w:type="dxa" w:w="1300"/>
            <w:shd w:fill="F1F6F9" w:color="auto" w:val="clear"/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0" w:line="210"/>
            </w:pPr>
            <w:r>
              <w:rPr>
                <w:rFonts w:ascii="Calibri" w:cs="Calibri" w:eastAsia="Calibri" w:hAnsi="Calibri"/>
                <w:color w:val="1F2A37"/>
                <w:sz w:val="13"/>
                <w:szCs w:val="13"/>
              </w:rPr>
              <w:t xml:space="preserve">O1 — Understand</w:t>
            </w:r>
          </w:p>
        </w:tc>
      </w:tr>
      <w:tr>
        <w:tc>
          <w:tcPr>
            <w:tcW w:type="dxa" w:w="520"/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r>
              <w:rPr>
                <w:rFonts w:ascii="Calibri" w:cs="Calibri" w:eastAsia="Calibri" w:hAnsi="Calibri"/>
                <w:b/>
                <w:bCs/>
                <w:color w:val="1F2A37"/>
                <w:sz w:val="15"/>
                <w:szCs w:val="15"/>
              </w:rPr>
              <w:t xml:space="preserve">3</w:t>
            </w:r>
          </w:p>
        </w:tc>
        <w:tc>
          <w:tcPr>
            <w:tcW w:type="dxa" w:w="1860"/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0" w:line="210"/>
            </w:pPr>
            <w:r>
              <w:rPr>
                <w:rFonts w:ascii="Calibri" w:cs="Calibri" w:eastAsia="Calibri" w:hAnsi="Calibri"/>
                <w:b/>
                <w:bCs/>
                <w:color w:val="1F2A37"/>
                <w:sz w:val="15"/>
                <w:szCs w:val="15"/>
              </w:rPr>
              <w:t xml:space="preserve">The traps almost everyone falls into</w:t>
            </w:r>
          </w:p>
          <w:p>
            <w:pPr>
              <w:spacing w:after="0" w:line="210"/>
            </w:pPr>
            <w:r>
              <w:rPr>
                <w:rFonts w:ascii="Calibri" w:cs="Calibri" w:eastAsia="Calibri" w:hAnsi="Calibri"/>
                <w:b/>
                <w:bCs/>
                <w:color w:val="0B7285"/>
                <w:sz w:val="13"/>
                <w:szCs w:val="13"/>
              </w:rPr>
              <w:t xml:space="preserve">Content</w:t>
            </w:r>
          </w:p>
        </w:tc>
        <w:tc>
          <w:tcPr>
            <w:tcW w:type="dxa" w:w="3080"/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0" w:line="210"/>
            </w:pPr>
            <w:r>
              <w:rPr>
                <w:rFonts w:ascii="Calibri" w:cs="Calibri" w:eastAsia="Calibri" w:hAnsi="Calibri"/>
                <w:color w:val="1F2A37"/>
                <w:sz w:val="15"/>
                <w:szCs w:val="15"/>
              </w:rPr>
              <w:t xml:space="preserve">Intro the three traps — the Doer, the Buddy, the Rescuer — one line each.</w:t>
            </w:r>
          </w:p>
        </w:tc>
        <w:tc>
          <w:tcPr>
            <w:tcW w:type="dxa" w:w="3260"/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0" w:line="210"/>
            </w:pPr>
            <w:r>
              <w:rPr>
                <w:rFonts w:ascii="Calibri" w:cs="Calibri" w:eastAsia="Calibri" w:hAnsi="Calibri"/>
                <w:i/>
                <w:iCs/>
                <w:color w:val="1F2A37"/>
                <w:sz w:val="15"/>
                <w:szCs w:val="15"/>
              </w:rPr>
              <w:t xml:space="preserve">“Three traps catch almost every new manager. Naming them is how you dodge them.”</w:t>
            </w:r>
          </w:p>
        </w:tc>
        <w:tc>
          <w:tcPr>
            <w:tcW w:type="dxa" w:w="2020"/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0" w:line="210"/>
            </w:pPr>
            <w:r>
              <w:rPr>
                <w:rFonts w:ascii="Calibri" w:cs="Calibri" w:eastAsia="Calibri" w:hAnsi="Calibri"/>
                <w:color w:val="1F2A37"/>
                <w:sz w:val="15"/>
                <w:szCs w:val="15"/>
              </w:rPr>
              <w:t xml:space="preserve">Stepper through three panels; Next.</w:t>
            </w:r>
          </w:p>
        </w:tc>
        <w:tc>
          <w:tcPr>
            <w:tcW w:type="dxa" w:w="2360"/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0" w:line="210"/>
            </w:pPr>
            <w:r>
              <w:rPr>
                <w:rFonts w:ascii="Calibri" w:cs="Calibri" w:eastAsia="Calibri" w:hAnsi="Calibri"/>
                <w:color w:val="1F2A37"/>
                <w:sz w:val="15"/>
                <w:szCs w:val="15"/>
              </w:rPr>
              <w:t xml:space="preserve">Three-panel timeline; muted line illustration per trap.</w:t>
            </w:r>
          </w:p>
        </w:tc>
        <w:tc>
          <w:tcPr>
            <w:tcW w:type="dxa" w:w="1300"/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0" w:line="210"/>
            </w:pPr>
            <w:r>
              <w:rPr>
                <w:rFonts w:ascii="Calibri" w:cs="Calibri" w:eastAsia="Calibri" w:hAnsi="Calibri"/>
                <w:color w:val="1F2A37"/>
                <w:sz w:val="13"/>
                <w:szCs w:val="13"/>
              </w:rPr>
              <w:t xml:space="preserve">O2 — Understand</w:t>
            </w:r>
          </w:p>
        </w:tc>
      </w:tr>
      <w:tr>
        <w:tc>
          <w:tcPr>
            <w:tcW w:type="dxa" w:w="520"/>
            <w:shd w:fill="F1F6F9" w:color="auto" w:val="clear"/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r>
              <w:rPr>
                <w:rFonts w:ascii="Calibri" w:cs="Calibri" w:eastAsia="Calibri" w:hAnsi="Calibri"/>
                <w:b/>
                <w:bCs/>
                <w:color w:val="1F2A37"/>
                <w:sz w:val="15"/>
                <w:szCs w:val="15"/>
              </w:rPr>
              <w:t xml:space="preserve">4</w:t>
            </w:r>
          </w:p>
        </w:tc>
        <w:tc>
          <w:tcPr>
            <w:tcW w:type="dxa" w:w="1860"/>
            <w:shd w:fill="F1F6F9" w:color="auto" w:val="clear"/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0" w:line="210"/>
            </w:pPr>
            <w:r>
              <w:rPr>
                <w:rFonts w:ascii="Calibri" w:cs="Calibri" w:eastAsia="Calibri" w:hAnsi="Calibri"/>
                <w:b/>
                <w:bCs/>
                <w:color w:val="1F2A37"/>
                <w:sz w:val="15"/>
                <w:szCs w:val="15"/>
              </w:rPr>
              <w:t xml:space="preserve">The Buddy trap: peer → boss</w:t>
            </w:r>
          </w:p>
          <w:p>
            <w:pPr>
              <w:spacing w:after="0" w:line="210"/>
            </w:pPr>
            <w:r>
              <w:rPr>
                <w:rFonts w:ascii="Calibri" w:cs="Calibri" w:eastAsia="Calibri" w:hAnsi="Calibri"/>
                <w:b/>
                <w:bCs/>
                <w:color w:val="0B7285"/>
                <w:sz w:val="13"/>
                <w:szCs w:val="13"/>
              </w:rPr>
              <w:t xml:space="preserve">Content</w:t>
            </w:r>
          </w:p>
        </w:tc>
        <w:tc>
          <w:tcPr>
            <w:tcW w:type="dxa" w:w="3080"/>
            <w:shd w:fill="F1F6F9" w:color="auto" w:val="clear"/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0" w:line="210"/>
            </w:pPr>
            <w:r>
              <w:rPr>
                <w:rFonts w:ascii="Calibri" w:cs="Calibri" w:eastAsia="Calibri" w:hAnsi="Calibri"/>
                <w:color w:val="1F2A37"/>
                <w:sz w:val="15"/>
                <w:szCs w:val="15"/>
              </w:rPr>
              <w:t xml:space="preserve">The friendship doesn’t end — the relationship changes. Holding the standard with a former peer is the hardest rep. Do / Don’t list.</w:t>
            </w:r>
          </w:p>
        </w:tc>
        <w:tc>
          <w:tcPr>
            <w:tcW w:type="dxa" w:w="3260"/>
            <w:shd w:fill="F1F6F9" w:color="auto" w:val="clear"/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0" w:line="210"/>
            </w:pPr>
            <w:r>
              <w:rPr>
                <w:rFonts w:ascii="Calibri" w:cs="Calibri" w:eastAsia="Calibri" w:hAnsi="Calibri"/>
                <w:i/>
                <w:iCs/>
                <w:color w:val="1F2A37"/>
                <w:sz w:val="15"/>
                <w:szCs w:val="15"/>
              </w:rPr>
              <w:t xml:space="preserve">“When you manage a former peer, warmth can’t buy a pass on the work. This is the exact situation you’ll be tested on at the end.”</w:t>
            </w:r>
          </w:p>
        </w:tc>
        <w:tc>
          <w:tcPr>
            <w:tcW w:type="dxa" w:w="2020"/>
            <w:shd w:fill="F1F6F9" w:color="auto" w:val="clear"/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0" w:line="210"/>
            </w:pPr>
            <w:r>
              <w:rPr>
                <w:rFonts w:ascii="Calibri" w:cs="Calibri" w:eastAsia="Calibri" w:hAnsi="Calibri"/>
                <w:color w:val="1F2A37"/>
                <w:sz w:val="15"/>
                <w:szCs w:val="15"/>
              </w:rPr>
              <w:t xml:space="preserve">Toggle Do vs Don’t.</w:t>
            </w:r>
          </w:p>
        </w:tc>
        <w:tc>
          <w:tcPr>
            <w:tcW w:type="dxa" w:w="2360"/>
            <w:shd w:fill="F1F6F9" w:color="auto" w:val="clear"/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0" w:line="210"/>
            </w:pPr>
            <w:r>
              <w:rPr>
                <w:rFonts w:ascii="Calibri" w:cs="Calibri" w:eastAsia="Calibri" w:hAnsi="Calibri"/>
                <w:color w:val="1F2A37"/>
                <w:sz w:val="15"/>
                <w:szCs w:val="15"/>
              </w:rPr>
              <w:t xml:space="preserve">Split panel; visual callback that foreshadows the capstone.</w:t>
            </w:r>
          </w:p>
        </w:tc>
        <w:tc>
          <w:tcPr>
            <w:tcW w:type="dxa" w:w="1300"/>
            <w:shd w:fill="F1F6F9" w:color="auto" w:val="clear"/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0" w:line="210"/>
            </w:pPr>
            <w:r>
              <w:rPr>
                <w:rFonts w:ascii="Calibri" w:cs="Calibri" w:eastAsia="Calibri" w:hAnsi="Calibri"/>
                <w:color w:val="1F2A37"/>
                <w:sz w:val="13"/>
                <w:szCs w:val="13"/>
              </w:rPr>
              <w:t xml:space="preserve">O6, O2 — sets up capstone</w:t>
            </w:r>
          </w:p>
        </w:tc>
      </w:tr>
      <w:tr>
        <w:tc>
          <w:tcPr>
            <w:tcW w:type="dxa" w:w="520"/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r>
              <w:rPr>
                <w:rFonts w:ascii="Calibri" w:cs="Calibri" w:eastAsia="Calibri" w:hAnsi="Calibri"/>
                <w:b/>
                <w:bCs/>
                <w:color w:val="1F2A37"/>
                <w:sz w:val="15"/>
                <w:szCs w:val="15"/>
              </w:rPr>
              <w:t xml:space="preserve">5</w:t>
            </w:r>
          </w:p>
        </w:tc>
        <w:tc>
          <w:tcPr>
            <w:tcW w:type="dxa" w:w="1860"/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0" w:line="210"/>
            </w:pPr>
            <w:r>
              <w:rPr>
                <w:rFonts w:ascii="Calibri" w:cs="Calibri" w:eastAsia="Calibri" w:hAnsi="Calibri"/>
                <w:b/>
                <w:bCs/>
                <w:color w:val="1F2A37"/>
                <w:sz w:val="15"/>
                <w:szCs w:val="15"/>
              </w:rPr>
              <w:t xml:space="preserve">Checkpoint: The transition</w:t>
            </w:r>
          </w:p>
          <w:p>
            <w:pPr>
              <w:spacing w:after="0" w:line="210"/>
            </w:pPr>
            <w:r>
              <w:rPr>
                <w:rFonts w:ascii="Calibri" w:cs="Calibri" w:eastAsia="Calibri" w:hAnsi="Calibri"/>
                <w:b/>
                <w:bCs/>
                <w:color w:val="0B7285"/>
                <w:sz w:val="13"/>
                <w:szCs w:val="13"/>
              </w:rPr>
              <w:t xml:space="preserve">Knowledge check</w:t>
            </w:r>
          </w:p>
        </w:tc>
        <w:tc>
          <w:tcPr>
            <w:tcW w:type="dxa" w:w="3080"/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0" w:line="210"/>
            </w:pPr>
            <w:r>
              <w:rPr>
                <w:rFonts w:ascii="Calibri" w:cs="Calibri" w:eastAsia="Calibri" w:hAnsi="Calibri"/>
                <w:color w:val="1F2A37"/>
                <w:sz w:val="15"/>
                <w:szCs w:val="15"/>
              </w:rPr>
              <w:t xml:space="preserve">Scenario stem + 3–4 options. Rich, teaching feedback per choice (not just right/wrong).</w:t>
            </w:r>
          </w:p>
        </w:tc>
        <w:tc>
          <w:tcPr>
            <w:tcW w:type="dxa" w:w="3260"/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0" w:line="210"/>
            </w:pPr>
            <w:r>
              <w:rPr>
                <w:rFonts w:ascii="Calibri" w:cs="Calibri" w:eastAsia="Calibri" w:hAnsi="Calibri"/>
                <w:i/>
                <w:iCs/>
                <w:color w:val="1F2A37"/>
                <w:sz w:val="15"/>
                <w:szCs w:val="15"/>
              </w:rPr>
              <w:t xml:space="preserve">(on wrong) “Not quite — that’s the Doer reflex talking. Look again at who owns the outcome.”</w:t>
            </w:r>
          </w:p>
        </w:tc>
        <w:tc>
          <w:tcPr>
            <w:tcW w:type="dxa" w:w="2020"/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0" w:line="210"/>
            </w:pPr>
            <w:r>
              <w:rPr>
                <w:rFonts w:ascii="Calibri" w:cs="Calibri" w:eastAsia="Calibri" w:hAnsi="Calibri"/>
                <w:color w:val="1F2A37"/>
                <w:sz w:val="15"/>
                <w:szCs w:val="15"/>
              </w:rPr>
              <w:t xml:space="preserve">Select an answer; immediate feedback; 2 attempts; must pass to proceed.</w:t>
            </w:r>
          </w:p>
        </w:tc>
        <w:tc>
          <w:tcPr>
            <w:tcW w:type="dxa" w:w="2360"/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0" w:line="210"/>
            </w:pPr>
            <w:r>
              <w:rPr>
                <w:rFonts w:ascii="Calibri" w:cs="Calibri" w:eastAsia="Calibri" w:hAnsi="Calibri"/>
                <w:color w:val="1F2A37"/>
                <w:sz w:val="15"/>
                <w:szCs w:val="15"/>
              </w:rPr>
              <w:t xml:space="preserve">MCQ with distractor-level feedback; state saved to LMS (bookmarking).</w:t>
            </w:r>
          </w:p>
        </w:tc>
        <w:tc>
          <w:tcPr>
            <w:tcW w:type="dxa" w:w="1300"/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0" w:line="210"/>
            </w:pPr>
            <w:r>
              <w:rPr>
                <w:rFonts w:ascii="Calibri" w:cs="Calibri" w:eastAsia="Calibri" w:hAnsi="Calibri"/>
                <w:color w:val="1F2A37"/>
                <w:sz w:val="13"/>
                <w:szCs w:val="13"/>
              </w:rPr>
              <w:t xml:space="preserve">O1 / O2 — Understand → Apply · formative</w:t>
            </w:r>
          </w:p>
        </w:tc>
      </w:tr>
      <w:tr>
        <w:tc>
          <w:tcPr>
            <w:tcW w:type="dxa" w:w="520"/>
            <w:shd w:fill="F1F6F9" w:color="auto" w:val="clear"/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r>
              <w:rPr>
                <w:rFonts w:ascii="Calibri" w:cs="Calibri" w:eastAsia="Calibri" w:hAnsi="Calibri"/>
                <w:b/>
                <w:bCs/>
                <w:color w:val="1F2A37"/>
                <w:sz w:val="15"/>
                <w:szCs w:val="15"/>
              </w:rPr>
              <w:t xml:space="preserve">6</w:t>
            </w:r>
          </w:p>
        </w:tc>
        <w:tc>
          <w:tcPr>
            <w:tcW w:type="dxa" w:w="1860"/>
            <w:shd w:fill="F1F6F9" w:color="auto" w:val="clear"/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0" w:line="210"/>
            </w:pPr>
            <w:r>
              <w:rPr>
                <w:rFonts w:ascii="Calibri" w:cs="Calibri" w:eastAsia="Calibri" w:hAnsi="Calibri"/>
                <w:b/>
                <w:bCs/>
                <w:color w:val="1F2A37"/>
                <w:sz w:val="15"/>
                <w:szCs w:val="15"/>
              </w:rPr>
              <w:t xml:space="preserve">Delegation isn’t dumping</w:t>
            </w:r>
          </w:p>
          <w:p>
            <w:pPr>
              <w:spacing w:after="0" w:line="210"/>
            </w:pPr>
            <w:r>
              <w:rPr>
                <w:rFonts w:ascii="Calibri" w:cs="Calibri" w:eastAsia="Calibri" w:hAnsi="Calibri"/>
                <w:b/>
                <w:bCs/>
                <w:color w:val="0B7285"/>
                <w:sz w:val="13"/>
                <w:szCs w:val="13"/>
              </w:rPr>
              <w:t xml:space="preserve">Content</w:t>
            </w:r>
          </w:p>
        </w:tc>
        <w:tc>
          <w:tcPr>
            <w:tcW w:type="dxa" w:w="3080"/>
            <w:shd w:fill="F1F6F9" w:color="auto" w:val="clear"/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0" w:line="210"/>
            </w:pPr>
            <w:r>
              <w:rPr>
                <w:rFonts w:ascii="Calibri" w:cs="Calibri" w:eastAsia="Calibri" w:hAnsi="Calibri"/>
                <w:color w:val="1F2A37"/>
                <w:sz w:val="15"/>
                <w:szCs w:val="15"/>
              </w:rPr>
              <w:t xml:space="preserve">Delegate to develop, not offload. Match the task to a growth goal · define “done” · set a check-in.</w:t>
            </w:r>
          </w:p>
        </w:tc>
        <w:tc>
          <w:tcPr>
            <w:tcW w:type="dxa" w:w="3260"/>
            <w:shd w:fill="F1F6F9" w:color="auto" w:val="clear"/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0" w:line="210"/>
            </w:pPr>
            <w:r>
              <w:rPr>
                <w:rFonts w:ascii="Calibri" w:cs="Calibri" w:eastAsia="Calibri" w:hAnsi="Calibri"/>
                <w:i/>
                <w:iCs/>
                <w:color w:val="1F2A37"/>
                <w:sz w:val="15"/>
                <w:szCs w:val="15"/>
              </w:rPr>
              <w:t xml:space="preserve">“Dumping is handing off what you hate. Delegation is handing off what will grow someone — with clarity on done.”</w:t>
            </w:r>
          </w:p>
        </w:tc>
        <w:tc>
          <w:tcPr>
            <w:tcW w:type="dxa" w:w="2020"/>
            <w:shd w:fill="F1F6F9" w:color="auto" w:val="clear"/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0" w:line="210"/>
            </w:pPr>
            <w:r>
              <w:rPr>
                <w:rFonts w:ascii="Calibri" w:cs="Calibri" w:eastAsia="Calibri" w:hAnsi="Calibri"/>
                <w:color w:val="1F2A37"/>
                <w:sz w:val="15"/>
                <w:szCs w:val="15"/>
              </w:rPr>
              <w:t xml:space="preserve">Drag tasks into Delegate / Keep / Coach bins; feedback on drop.</w:t>
            </w:r>
          </w:p>
        </w:tc>
        <w:tc>
          <w:tcPr>
            <w:tcW w:type="dxa" w:w="2360"/>
            <w:shd w:fill="F1F6F9" w:color="auto" w:val="clear"/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0" w:line="210"/>
            </w:pPr>
            <w:r>
              <w:rPr>
                <w:rFonts w:ascii="Calibri" w:cs="Calibri" w:eastAsia="Calibri" w:hAnsi="Calibri"/>
                <w:color w:val="1F2A37"/>
                <w:sz w:val="15"/>
                <w:szCs w:val="15"/>
              </w:rPr>
              <w:t xml:space="preserve">Drag-and-drop sort; accessible select-menu fallback for keyboard/AT.</w:t>
            </w:r>
          </w:p>
        </w:tc>
        <w:tc>
          <w:tcPr>
            <w:tcW w:type="dxa" w:w="1300"/>
            <w:shd w:fill="F1F6F9" w:color="auto" w:val="clear"/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0" w:line="210"/>
            </w:pPr>
            <w:r>
              <w:rPr>
                <w:rFonts w:ascii="Calibri" w:cs="Calibri" w:eastAsia="Calibri" w:hAnsi="Calibri"/>
                <w:color w:val="1F2A37"/>
                <w:sz w:val="13"/>
                <w:szCs w:val="13"/>
              </w:rPr>
              <w:t xml:space="preserve">O3 — Apply</w:t>
            </w:r>
          </w:p>
        </w:tc>
      </w:tr>
      <w:tr>
        <w:tc>
          <w:tcPr>
            <w:tcW w:type="dxa" w:w="520"/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r>
              <w:rPr>
                <w:rFonts w:ascii="Calibri" w:cs="Calibri" w:eastAsia="Calibri" w:hAnsi="Calibri"/>
                <w:b/>
                <w:bCs/>
                <w:color w:val="1F2A37"/>
                <w:sz w:val="15"/>
                <w:szCs w:val="15"/>
              </w:rPr>
              <w:t xml:space="preserve">7</w:t>
            </w:r>
          </w:p>
        </w:tc>
        <w:tc>
          <w:tcPr>
            <w:tcW w:type="dxa" w:w="1860"/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0" w:line="210"/>
            </w:pPr>
            <w:r>
              <w:rPr>
                <w:rFonts w:ascii="Calibri" w:cs="Calibri" w:eastAsia="Calibri" w:hAnsi="Calibri"/>
                <w:b/>
                <w:bCs/>
                <w:color w:val="1F2A37"/>
                <w:sz w:val="15"/>
                <w:szCs w:val="15"/>
              </w:rPr>
              <w:t xml:space="preserve">Your new core loop: 1:1s &amp; feedback</w:t>
            </w:r>
          </w:p>
          <w:p>
            <w:pPr>
              <w:spacing w:after="0" w:line="210"/>
            </w:pPr>
            <w:r>
              <w:rPr>
                <w:rFonts w:ascii="Calibri" w:cs="Calibri" w:eastAsia="Calibri" w:hAnsi="Calibri"/>
                <w:b/>
                <w:bCs/>
                <w:color w:val="0B7285"/>
                <w:sz w:val="13"/>
                <w:szCs w:val="13"/>
              </w:rPr>
              <w:t xml:space="preserve">Content</w:t>
            </w:r>
          </w:p>
        </w:tc>
        <w:tc>
          <w:tcPr>
            <w:tcW w:type="dxa" w:w="3080"/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0" w:line="210"/>
            </w:pPr>
            <w:r>
              <w:rPr>
                <w:rFonts w:ascii="Calibri" w:cs="Calibri" w:eastAsia="Calibri" w:hAnsi="Calibri"/>
                <w:color w:val="1F2A37"/>
                <w:sz w:val="15"/>
                <w:szCs w:val="15"/>
              </w:rPr>
              <w:t xml:space="preserve">The weekly loop: regular 1:1s · clear expectations · timely feedback (SBI model).</w:t>
            </w:r>
          </w:p>
        </w:tc>
        <w:tc>
          <w:tcPr>
            <w:tcW w:type="dxa" w:w="3260"/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0" w:line="210"/>
            </w:pPr>
            <w:r>
              <w:rPr>
                <w:rFonts w:ascii="Calibri" w:cs="Calibri" w:eastAsia="Calibri" w:hAnsi="Calibri"/>
                <w:i/>
                <w:iCs/>
                <w:color w:val="1F2A37"/>
                <w:sz w:val="15"/>
                <w:szCs w:val="15"/>
              </w:rPr>
              <w:t xml:space="preserve">“Three habits are now your actual job: 1:1s, expectations people can repeat back, and feedback close to the moment.”</w:t>
            </w:r>
          </w:p>
        </w:tc>
        <w:tc>
          <w:tcPr>
            <w:tcW w:type="dxa" w:w="2020"/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0" w:line="210"/>
            </w:pPr>
            <w:r>
              <w:rPr>
                <w:rFonts w:ascii="Calibri" w:cs="Calibri" w:eastAsia="Calibri" w:hAnsi="Calibri"/>
                <w:color w:val="1F2A37"/>
                <w:sz w:val="15"/>
                <w:szCs w:val="15"/>
              </w:rPr>
              <w:t xml:space="preserve">Expand each habit; download the 1:1 template (job aid).</w:t>
            </w:r>
          </w:p>
        </w:tc>
        <w:tc>
          <w:tcPr>
            <w:tcW w:type="dxa" w:w="2360"/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0" w:line="210"/>
            </w:pPr>
            <w:r>
              <w:rPr>
                <w:rFonts w:ascii="Calibri" w:cs="Calibri" w:eastAsia="Calibri" w:hAnsi="Calibri"/>
                <w:color w:val="1F2A37"/>
                <w:sz w:val="15"/>
                <w:szCs w:val="15"/>
              </w:rPr>
              <w:t xml:space="preserve">Cycle diagram; downloadable 1:1 template PDF — performance-support tie-in.</w:t>
            </w:r>
          </w:p>
        </w:tc>
        <w:tc>
          <w:tcPr>
            <w:tcW w:type="dxa" w:w="1300"/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0" w:line="210"/>
            </w:pPr>
            <w:r>
              <w:rPr>
                <w:rFonts w:ascii="Calibri" w:cs="Calibri" w:eastAsia="Calibri" w:hAnsi="Calibri"/>
                <w:color w:val="1F2A37"/>
                <w:sz w:val="13"/>
                <w:szCs w:val="13"/>
              </w:rPr>
              <w:t xml:space="preserve">O4 — Apply</w:t>
            </w:r>
          </w:p>
        </w:tc>
      </w:tr>
      <w:tr>
        <w:tc>
          <w:tcPr>
            <w:tcW w:type="dxa" w:w="520"/>
            <w:shd w:fill="F1F6F9" w:color="auto" w:val="clear"/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r>
              <w:rPr>
                <w:rFonts w:ascii="Calibri" w:cs="Calibri" w:eastAsia="Calibri" w:hAnsi="Calibri"/>
                <w:b/>
                <w:bCs/>
                <w:color w:val="1F2A37"/>
                <w:sz w:val="15"/>
                <w:szCs w:val="15"/>
              </w:rPr>
              <w:t xml:space="preserve">8</w:t>
            </w:r>
          </w:p>
        </w:tc>
        <w:tc>
          <w:tcPr>
            <w:tcW w:type="dxa" w:w="1860"/>
            <w:shd w:fill="F1F6F9" w:color="auto" w:val="clear"/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0" w:line="210"/>
            </w:pPr>
            <w:r>
              <w:rPr>
                <w:rFonts w:ascii="Calibri" w:cs="Calibri" w:eastAsia="Calibri" w:hAnsi="Calibri"/>
                <w:b/>
                <w:bCs/>
                <w:color w:val="1F2A37"/>
                <w:sz w:val="15"/>
                <w:szCs w:val="15"/>
              </w:rPr>
              <w:t xml:space="preserve">Clarity is kindness: expectations</w:t>
            </w:r>
          </w:p>
          <w:p>
            <w:pPr>
              <w:spacing w:after="0" w:line="210"/>
            </w:pPr>
            <w:r>
              <w:rPr>
                <w:rFonts w:ascii="Calibri" w:cs="Calibri" w:eastAsia="Calibri" w:hAnsi="Calibri"/>
                <w:b/>
                <w:bCs/>
                <w:color w:val="0B7285"/>
                <w:sz w:val="13"/>
                <w:szCs w:val="13"/>
              </w:rPr>
              <w:t xml:space="preserve">Content / practice</w:t>
            </w:r>
          </w:p>
        </w:tc>
        <w:tc>
          <w:tcPr>
            <w:tcW w:type="dxa" w:w="3080"/>
            <w:shd w:fill="F1F6F9" w:color="auto" w:val="clear"/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0" w:line="210"/>
            </w:pPr>
            <w:r>
              <w:rPr>
                <w:rFonts w:ascii="Calibri" w:cs="Calibri" w:eastAsia="Calibri" w:hAnsi="Calibri"/>
                <w:color w:val="1F2A37"/>
                <w:sz w:val="15"/>
                <w:szCs w:val="15"/>
              </w:rPr>
              <w:t xml:space="preserve">Vague vs specific examples. “Step up” → “Draft to me by Thursday with figures checked.”</w:t>
            </w:r>
          </w:p>
        </w:tc>
        <w:tc>
          <w:tcPr>
            <w:tcW w:type="dxa" w:w="3260"/>
            <w:shd w:fill="F1F6F9" w:color="auto" w:val="clear"/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0" w:line="210"/>
            </w:pPr>
            <w:r>
              <w:rPr>
                <w:rFonts w:ascii="Calibri" w:cs="Calibri" w:eastAsia="Calibri" w:hAnsi="Calibri"/>
                <w:i/>
                <w:iCs/>
                <w:color w:val="1F2A37"/>
                <w:sz w:val="15"/>
                <w:szCs w:val="15"/>
              </w:rPr>
              <w:t xml:space="preserve">“Clear is kind. ‘Step up’ isn’t an expectation. A behavior, a standard, and a deadline is.”</w:t>
            </w:r>
          </w:p>
        </w:tc>
        <w:tc>
          <w:tcPr>
            <w:tcW w:type="dxa" w:w="2020"/>
            <w:shd w:fill="F1F6F9" w:color="auto" w:val="clear"/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0" w:line="210"/>
            </w:pPr>
            <w:r>
              <w:rPr>
                <w:rFonts w:ascii="Calibri" w:cs="Calibri" w:eastAsia="Calibri" w:hAnsi="Calibri"/>
                <w:color w:val="1F2A37"/>
                <w:sz w:val="15"/>
                <w:szCs w:val="15"/>
              </w:rPr>
              <w:t xml:space="preserve">Rewrite a vague expectation into a specific one; model answer reveals.</w:t>
            </w:r>
          </w:p>
        </w:tc>
        <w:tc>
          <w:tcPr>
            <w:tcW w:type="dxa" w:w="2360"/>
            <w:shd w:fill="F1F6F9" w:color="auto" w:val="clear"/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0" w:line="210"/>
            </w:pPr>
            <w:r>
              <w:rPr>
                <w:rFonts w:ascii="Calibri" w:cs="Calibri" w:eastAsia="Calibri" w:hAnsi="Calibri"/>
                <w:color w:val="1F2A37"/>
                <w:sz w:val="15"/>
                <w:szCs w:val="15"/>
              </w:rPr>
              <w:t xml:space="preserve">Free-text entry with model-answer reveal; or select-best fallback.</w:t>
            </w:r>
          </w:p>
        </w:tc>
        <w:tc>
          <w:tcPr>
            <w:tcW w:type="dxa" w:w="1300"/>
            <w:shd w:fill="F1F6F9" w:color="auto" w:val="clear"/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0" w:line="210"/>
            </w:pPr>
            <w:r>
              <w:rPr>
                <w:rFonts w:ascii="Calibri" w:cs="Calibri" w:eastAsia="Calibri" w:hAnsi="Calibri"/>
                <w:color w:val="1F2A37"/>
                <w:sz w:val="13"/>
                <w:szCs w:val="13"/>
              </w:rPr>
              <w:t xml:space="preserve">O4 / O5 — Apply</w:t>
            </w:r>
          </w:p>
        </w:tc>
      </w:tr>
      <w:tr>
        <w:tc>
          <w:tcPr>
            <w:tcW w:type="dxa" w:w="520"/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r>
              <w:rPr>
                <w:rFonts w:ascii="Calibri" w:cs="Calibri" w:eastAsia="Calibri" w:hAnsi="Calibri"/>
                <w:b/>
                <w:bCs/>
                <w:color w:val="1F2A37"/>
                <w:sz w:val="15"/>
                <w:szCs w:val="15"/>
              </w:rPr>
              <w:t xml:space="preserve">9</w:t>
            </w:r>
          </w:p>
        </w:tc>
        <w:tc>
          <w:tcPr>
            <w:tcW w:type="dxa" w:w="1860"/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0" w:line="210"/>
            </w:pPr>
            <w:r>
              <w:rPr>
                <w:rFonts w:ascii="Calibri" w:cs="Calibri" w:eastAsia="Calibri" w:hAnsi="Calibri"/>
                <w:b/>
                <w:bCs/>
                <w:color w:val="1F2A37"/>
                <w:sz w:val="15"/>
                <w:szCs w:val="15"/>
              </w:rPr>
              <w:t xml:space="preserve">Applied: the missed deadline</w:t>
            </w:r>
          </w:p>
          <w:p>
            <w:pPr>
              <w:spacing w:after="0" w:line="210"/>
            </w:pPr>
            <w:r>
              <w:rPr>
                <w:rFonts w:ascii="Calibri" w:cs="Calibri" w:eastAsia="Calibri" w:hAnsi="Calibri"/>
                <w:b/>
                <w:bCs/>
                <w:color w:val="0B7285"/>
                <w:sz w:val="13"/>
                <w:szCs w:val="13"/>
              </w:rPr>
              <w:t xml:space="preserve">Branching scenario</w:t>
            </w:r>
          </w:p>
        </w:tc>
        <w:tc>
          <w:tcPr>
            <w:tcW w:type="dxa" w:w="3080"/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0" w:line="210"/>
            </w:pPr>
            <w:r>
              <w:rPr>
                <w:rFonts w:ascii="Calibri" w:cs="Calibri" w:eastAsia="Calibri" w:hAnsi="Calibri"/>
                <w:color w:val="1F2A37"/>
                <w:sz w:val="15"/>
                <w:szCs w:val="15"/>
              </w:rPr>
              <w:t xml:space="preserve">A report misses a deadline. Learner picks the opening line; branches play out consequences; debrief maps the choice back to the principle.</w:t>
            </w:r>
          </w:p>
        </w:tc>
        <w:tc>
          <w:tcPr>
            <w:tcW w:type="dxa" w:w="3260"/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0" w:line="210"/>
            </w:pPr>
            <w:r>
              <w:rPr>
                <w:rFonts w:ascii="Calibri" w:cs="Calibri" w:eastAsia="Calibri" w:hAnsi="Calibri"/>
                <w:i/>
                <w:iCs/>
                <w:color w:val="1F2A37"/>
                <w:sz w:val="15"/>
                <w:szCs w:val="15"/>
              </w:rPr>
              <w:t xml:space="preserve">Character VO per branch; debrief narration ties the outcome to accountability + clarity.</w:t>
            </w:r>
          </w:p>
        </w:tc>
        <w:tc>
          <w:tcPr>
            <w:tcW w:type="dxa" w:w="2020"/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0" w:line="210"/>
            </w:pPr>
            <w:r>
              <w:rPr>
                <w:rFonts w:ascii="Calibri" w:cs="Calibri" w:eastAsia="Calibri" w:hAnsi="Calibri"/>
                <w:color w:val="1F2A37"/>
                <w:sz w:val="15"/>
                <w:szCs w:val="15"/>
              </w:rPr>
              <w:t xml:space="preserve">Branching decisions (2–3 points); consequences shown; replay enabled.</w:t>
            </w:r>
          </w:p>
        </w:tc>
        <w:tc>
          <w:tcPr>
            <w:tcW w:type="dxa" w:w="2360"/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0" w:line="210"/>
            </w:pPr>
            <w:r>
              <w:rPr>
                <w:rFonts w:ascii="Calibri" w:cs="Calibri" w:eastAsia="Calibri" w:hAnsi="Calibri"/>
                <w:color w:val="1F2A37"/>
                <w:sz w:val="15"/>
                <w:szCs w:val="15"/>
              </w:rPr>
              <w:t xml:space="preserve">Storyline branching; character avatars; xAPI statements per decision.</w:t>
            </w:r>
          </w:p>
        </w:tc>
        <w:tc>
          <w:tcPr>
            <w:tcW w:type="dxa" w:w="1300"/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0" w:line="210"/>
            </w:pPr>
            <w:r>
              <w:rPr>
                <w:rFonts w:ascii="Calibri" w:cs="Calibri" w:eastAsia="Calibri" w:hAnsi="Calibri"/>
                <w:color w:val="1F2A37"/>
                <w:sz w:val="13"/>
                <w:szCs w:val="13"/>
              </w:rPr>
              <w:t xml:space="preserve">O5 — Apply / Analyze · rehearsal</w:t>
            </w:r>
          </w:p>
        </w:tc>
      </w:tr>
      <w:tr>
        <w:tc>
          <w:tcPr>
            <w:tcW w:type="dxa" w:w="520"/>
            <w:shd w:fill="F1F6F9" w:color="auto" w:val="clear"/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r>
              <w:rPr>
                <w:rFonts w:ascii="Calibri" w:cs="Calibri" w:eastAsia="Calibri" w:hAnsi="Calibri"/>
                <w:b/>
                <w:bCs/>
                <w:color w:val="1F2A37"/>
                <w:sz w:val="15"/>
                <w:szCs w:val="15"/>
              </w:rPr>
              <w:t xml:space="preserve">10</w:t>
            </w:r>
          </w:p>
        </w:tc>
        <w:tc>
          <w:tcPr>
            <w:tcW w:type="dxa" w:w="1860"/>
            <w:shd w:fill="F1F6F9" w:color="auto" w:val="clear"/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0" w:line="210"/>
            </w:pPr>
            <w:r>
              <w:rPr>
                <w:rFonts w:ascii="Calibri" w:cs="Calibri" w:eastAsia="Calibri" w:hAnsi="Calibri"/>
                <w:b/>
                <w:bCs/>
                <w:color w:val="1F2A37"/>
                <w:sz w:val="15"/>
                <w:szCs w:val="15"/>
              </w:rPr>
              <w:t xml:space="preserve">Capstone: The former peer</w:t>
            </w:r>
          </w:p>
          <w:p>
            <w:pPr>
              <w:spacing w:after="0" w:line="210"/>
            </w:pPr>
            <w:r>
              <w:rPr>
                <w:rFonts w:ascii="Calibri" w:cs="Calibri" w:eastAsia="Calibri" w:hAnsi="Calibri"/>
                <w:b/>
                <w:bCs/>
                <w:color w:val="0B7285"/>
                <w:sz w:val="13"/>
                <w:szCs w:val="13"/>
              </w:rPr>
              <w:t xml:space="preserve">Assessment — AI oral defense</w:t>
            </w:r>
          </w:p>
        </w:tc>
        <w:tc>
          <w:tcPr>
            <w:tcW w:type="dxa" w:w="3080"/>
            <w:shd w:fill="F1F6F9" w:color="auto" w:val="clear"/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0" w:line="210"/>
            </w:pPr>
            <w:r>
              <w:rPr>
                <w:rFonts w:ascii="Calibri" w:cs="Calibri" w:eastAsia="Calibri" w:hAnsi="Calibri"/>
                <w:color w:val="1F2A37"/>
                <w:sz w:val="15"/>
                <w:szCs w:val="15"/>
              </w:rPr>
              <w:t xml:space="preserve">Brief: Alex, a former peer, now your report, is coasting and leans on the friendship. “Answer in your own words — the examiner probes your reasoning.”</w:t>
            </w:r>
          </w:p>
        </w:tc>
        <w:tc>
          <w:tcPr>
            <w:tcW w:type="dxa" w:w="3260"/>
            <w:shd w:fill="F1F6F9" w:color="auto" w:val="clear"/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0" w:line="210"/>
            </w:pPr>
            <w:r>
              <w:rPr>
                <w:rFonts w:ascii="Calibri" w:cs="Calibri" w:eastAsia="Calibri" w:hAnsi="Calibri"/>
                <w:i/>
                <w:iCs/>
                <w:color w:val="1F2A37"/>
                <w:sz w:val="15"/>
                <w:szCs w:val="15"/>
              </w:rPr>
              <w:t xml:space="preserve">AI examiner opens, asks up to 3 probing follow-ups, then returns a verdict — Demonstrated / Partial / Not yet — with strengths and gaps.</w:t>
            </w:r>
          </w:p>
        </w:tc>
        <w:tc>
          <w:tcPr>
            <w:tcW w:type="dxa" w:w="2020"/>
            <w:shd w:fill="F1F6F9" w:color="auto" w:val="clear"/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0" w:line="210"/>
            </w:pPr>
            <w:r>
              <w:rPr>
                <w:rFonts w:ascii="Calibri" w:cs="Calibri" w:eastAsia="Calibri" w:hAnsi="Calibri"/>
                <w:color w:val="1F2A37"/>
                <w:sz w:val="15"/>
                <w:szCs w:val="15"/>
              </w:rPr>
              <w:t xml:space="preserve">Open-response chat; multi-turn; verdict + formative feedback; retake option.</w:t>
            </w:r>
          </w:p>
        </w:tc>
        <w:tc>
          <w:tcPr>
            <w:tcW w:type="dxa" w:w="2360"/>
            <w:shd w:fill="F1F6F9" w:color="auto" w:val="clear"/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0" w:line="210"/>
            </w:pPr>
            <w:r>
              <w:rPr>
                <w:rFonts w:ascii="Calibri" w:cs="Calibri" w:eastAsia="Calibri" w:hAnsi="Calibri"/>
                <w:color w:val="1F2A37"/>
                <w:sz w:val="15"/>
                <w:szCs w:val="15"/>
              </w:rPr>
              <w:t xml:space="preserve">Custom LLM-scored interaction; rubric-referenced; transcript captured (xAPI).</w:t>
            </w:r>
          </w:p>
        </w:tc>
        <w:tc>
          <w:tcPr>
            <w:tcW w:type="dxa" w:w="1300"/>
            <w:shd w:fill="F1F6F9" w:color="auto" w:val="clear"/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0" w:line="210"/>
            </w:pPr>
            <w:r>
              <w:rPr>
                <w:rFonts w:ascii="Calibri" w:cs="Calibri" w:eastAsia="Calibri" w:hAnsi="Calibri"/>
                <w:color w:val="1F2A37"/>
                <w:sz w:val="13"/>
                <w:szCs w:val="13"/>
              </w:rPr>
              <w:t xml:space="preserve">O6 (+O2/O4/O5) — Analyze / Evaluate · authentic assessment</w:t>
            </w:r>
          </w:p>
        </w:tc>
      </w:tr>
    </w:tbl>
    <w:p>
      <w:pPr>
        <w:spacing w:after="40" w:before="120"/>
      </w:pPr>
      <w:r>
        <w:rPr>
          <w:rFonts w:ascii="Calibri" w:cs="Calibri" w:eastAsia="Calibri" w:hAnsi="Calibri"/>
          <w:b/>
          <w:bCs/>
          <w:color w:val="0B7285"/>
          <w:sz w:val="14"/>
          <w:szCs w:val="14"/>
        </w:rPr>
        <w:t xml:space="preserve">Objectives  </w:t>
      </w:r>
      <w:r>
        <w:rPr>
          <w:rFonts w:ascii="Calibri" w:cs="Calibri" w:eastAsia="Calibri" w:hAnsi="Calibri"/>
          <w:color w:val="5F6B7A"/>
          <w:sz w:val="14"/>
          <w:szCs w:val="14"/>
        </w:rPr>
        <w:t xml:space="preserve">O1 IC→manager shift · O2 avoid the traps · O3 delegate to develop · O4 run the core loop (1:1s, expectations, feedback) · O5 hold the standard fairly · O6 manage a former peer.</w:t>
      </w:r>
    </w:p>
    <w:sectPr>
      <w:pgSz w:w="15840" w:h="12240" w:orient="landscape"/>
      <w:pgMar w:top="640" w:right="720" w:bottom="600" w:left="72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cs="Calibri" w:eastAsia="Calibri" w:hAnsi="Calibri"/>
        <w:color w:val="1F2A37"/>
        <w:sz w:val="15"/>
        <w:szCs w:val="15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2026-07-21T00:07:02.154Z</dcterms:created>
  <dcterms:modified xsi:type="dcterms:W3CDTF">2026-07-21T00:07:02.171Z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